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A95B" w14:textId="77777777" w:rsidR="00184BE6" w:rsidRPr="00096B05" w:rsidRDefault="00184BE6" w:rsidP="000B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80" w:beforeAutospacing="0" w:after="80" w:afterAutospacing="0" w:line="240" w:lineRule="auto"/>
        <w:jc w:val="both"/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</w:pPr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ALLEGATO</w:t>
      </w:r>
    </w:p>
    <w:p w14:paraId="7AE237F6" w14:textId="77777777" w:rsidR="00096B05" w:rsidRDefault="00096B05" w:rsidP="000B65A9">
      <w:pPr>
        <w:shd w:val="clear" w:color="auto" w:fill="FFFFFF"/>
        <w:spacing w:before="80" w:beforeAutospacing="0" w:after="80" w:afterAutospacing="0" w:line="240" w:lineRule="auto"/>
        <w:jc w:val="both"/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</w:pPr>
    </w:p>
    <w:p w14:paraId="334C638B" w14:textId="14938857" w:rsidR="00096B05" w:rsidRDefault="00463A3B" w:rsidP="000B65A9">
      <w:pPr>
        <w:shd w:val="clear" w:color="auto" w:fill="FFFFFF"/>
        <w:spacing w:before="80" w:beforeAutospacing="0" w:after="80" w:afterAutospacing="0" w:line="240" w:lineRule="auto"/>
        <w:jc w:val="both"/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</w:pPr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La manovra in sintesi</w:t>
      </w:r>
    </w:p>
    <w:p w14:paraId="2F6256E2" w14:textId="77777777" w:rsidR="00837BEC" w:rsidRDefault="00D778A9" w:rsidP="000B65A9">
      <w:pPr>
        <w:shd w:val="clear" w:color="auto" w:fill="FFFFFF"/>
        <w:spacing w:before="80" w:beforeAutospacing="0" w:after="80" w:afterAutospacing="0" w:line="240" w:lineRule="auto"/>
        <w:jc w:val="both"/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</w:pP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Tra le priorità dell’assestamento di bilancio 2023-2025,</w:t>
      </w:r>
      <w:r w:rsidR="00463A3B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la difesa del suolo e l’ambiente:</w:t>
      </w:r>
      <w:r w:rsidR="00184BE6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saranno ampliati gli stanziamenti a favore della Protezione Civile, con 8 milioni di euro aggiuntivi già erogati; il rafforzamento dei finanziamenti ad </w:t>
      </w:r>
      <w:proofErr w:type="spellStart"/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Aipo</w:t>
      </w:r>
      <w:proofErr w:type="spellEnd"/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(5 milioni) e il trasferimento ad </w:t>
      </w:r>
      <w:proofErr w:type="spellStart"/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Arpae</w:t>
      </w:r>
      <w:proofErr w:type="spellEnd"/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di 2,5 milioni. </w:t>
      </w:r>
      <w:r w:rsidR="00184BE6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br/>
      </w:r>
    </w:p>
    <w:p w14:paraId="77D5E1F8" w14:textId="7EB1275F" w:rsidR="00D778A9" w:rsidRPr="00096B05" w:rsidRDefault="00184BE6" w:rsidP="000B65A9">
      <w:pPr>
        <w:shd w:val="clear" w:color="auto" w:fill="FFFFFF"/>
        <w:spacing w:before="80" w:beforeAutospacing="0" w:after="80" w:afterAutospacing="0" w:line="240" w:lineRule="auto"/>
        <w:jc w:val="both"/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</w:pP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Per</w:t>
      </w:r>
      <w:r w:rsidR="00463A3B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="00D778A9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welfare, affitti, sanità e scuola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previst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i: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l’incremento di 28 milioni di euro del</w:t>
      </w:r>
      <w:r w:rsidR="00463A3B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="00D778A9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Fondo regionale per la </w:t>
      </w:r>
      <w:r w:rsidR="00837BEC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n</w:t>
      </w:r>
      <w:r w:rsidR="00D778A9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on </w:t>
      </w:r>
      <w:r w:rsidR="00837BEC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a</w:t>
      </w:r>
      <w:r w:rsidR="00D778A9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utosufficienza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; 18 milioni di euro per </w:t>
      </w:r>
      <w:r w:rsidR="00837BEC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gli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emotrasfusi; </w:t>
      </w:r>
      <w:r w:rsidR="00B87ED6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7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milioni di risorse regionali andranno a</w:t>
      </w:r>
      <w:r w:rsidR="00463A3B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="00EB19A3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</w:p>
    <w:p w14:paraId="1FA18CF6" w14:textId="7B83EB22" w:rsidR="00096B05" w:rsidRDefault="00184BE6" w:rsidP="000B65A9">
      <w:pPr>
        <w:shd w:val="clear" w:color="auto" w:fill="FFFFFF"/>
        <w:spacing w:before="80" w:beforeAutospacing="0" w:after="80" w:afterAutospacing="0" w:line="240" w:lineRule="auto"/>
        <w:jc w:val="both"/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</w:pP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I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nvestiment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i nei settori 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trasporti, turismo, cultura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e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sport. Per i</w:t>
      </w:r>
      <w:r w:rsidR="00463A3B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="00D778A9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trasporti</w:t>
      </w:r>
      <w:r w:rsidR="00911DE7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,</w:t>
      </w:r>
      <w:r w:rsidR="00463A3B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22 milioni aggiuntivi </w:t>
      </w:r>
      <w:r w:rsidR="00911DE7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serviranno 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per sopperire a nuove esigenze non coperte dagli stanziamenti del Fondo nazionale; 12 milioni saranno destinati al rafforzamento delle previsioni di bilancio, in particolare 5,5 milioni alla</w:t>
      </w:r>
      <w:r w:rsidR="00463A3B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="00D778A9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cultura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, 3,5 milioni allo</w:t>
      </w:r>
      <w:r w:rsidR="00463A3B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="00D778A9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sport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, 3,2 milioni al</w:t>
      </w:r>
      <w:r w:rsidR="00463A3B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="00D778A9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turismo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634AE618" w14:textId="087C3247" w:rsidR="00184BE6" w:rsidRPr="00096B05" w:rsidRDefault="00D778A9" w:rsidP="000B65A9">
      <w:pPr>
        <w:shd w:val="clear" w:color="auto" w:fill="FFFFFF"/>
        <w:spacing w:before="80" w:beforeAutospacing="0" w:after="80" w:afterAutospacing="0" w:line="240" w:lineRule="auto"/>
        <w:jc w:val="both"/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</w:pP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A questa voce si aggiungono gli interventi del Fondo unico nazionale per il turismo, di cui 2 milioni per </w:t>
      </w:r>
      <w:r w:rsidRPr="00A51642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promozione turistica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e 5,2 milioni per interventi in conto capitale; attraverso lo sblocco dell'avanzo vincolato sono stati inoltre destinati 4 milioni di euro per </w:t>
      </w:r>
      <w:r w:rsidRPr="00A51642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ristori ai gestori degli impianti sciistici e delle imprese turistiche dei comprensori sciistici</w:t>
      </w:r>
      <w:r w:rsidR="00184BE6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.</w:t>
      </w:r>
    </w:p>
    <w:p w14:paraId="4B6A226D" w14:textId="3ECBB4CE" w:rsidR="00D778A9" w:rsidRPr="00096B05" w:rsidRDefault="00184BE6" w:rsidP="000B65A9">
      <w:pPr>
        <w:jc w:val="both"/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</w:pP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Inoltre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, 1 milione sul 2024/25 sarà destinato alla Legge 41, per dare attuazione alla nuova legge sullo</w:t>
      </w:r>
      <w:r w:rsidR="00463A3B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="00D778A9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sviluppo dell'economia urbana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. Infine, la Regione dovrà erogare un contributo di 14 milioni allo Stato </w:t>
      </w:r>
      <w:r w:rsidR="00B87ED6">
        <w:rPr>
          <w:b/>
          <w:bCs/>
          <w:color w:val="1C2024"/>
          <w:sz w:val="24"/>
          <w:szCs w:val="24"/>
          <w:lang w:eastAsia="it-IT"/>
          <w14:ligatures w14:val="none"/>
        </w:rPr>
        <w:t xml:space="preserve">per il concorso agli obiettivi di finanza pubblica previsto dalla Legge n° 178 del 2020 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e altri 10,5 milioni saranno destinati alla </w:t>
      </w:r>
      <w:r w:rsidR="00D778A9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convenzione con le Province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.</w:t>
      </w:r>
    </w:p>
    <w:p w14:paraId="667683FE" w14:textId="797D48FD" w:rsidR="00096B05" w:rsidRDefault="00D778A9" w:rsidP="000B65A9">
      <w:pPr>
        <w:shd w:val="clear" w:color="auto" w:fill="FFFFFF"/>
        <w:spacing w:before="80" w:beforeAutospacing="0" w:after="80" w:afterAutospacing="0" w:line="240" w:lineRule="auto"/>
        <w:jc w:val="both"/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</w:pPr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Sul fronte </w:t>
      </w:r>
      <w:r w:rsidR="00A51642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fondi europei </w:t>
      </w:r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F</w:t>
      </w:r>
      <w:r w:rsidR="00463A3B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esr</w:t>
      </w:r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F</w:t>
      </w:r>
      <w:r w:rsidR="00463A3B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se</w:t>
      </w:r>
      <w:proofErr w:type="spellEnd"/>
      <w:r w:rsidR="00463A3B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 Plus</w:t>
      </w:r>
      <w:r w:rsidR="00A51642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, 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i bandi previsti nella programmazione riguarderanno questi ambiti: sostegno investimenti delle </w:t>
      </w:r>
      <w:r w:rsidRPr="00A51642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imprese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e degli </w:t>
      </w:r>
      <w:r w:rsidR="00A51642" w:rsidRPr="00A51642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E</w:t>
      </w:r>
      <w:r w:rsidRPr="00A51642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nti locali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; </w:t>
      </w:r>
      <w:r w:rsidRPr="00A51642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digitalizzazione, transizione energetica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, internazionalizzazione; formazione; </w:t>
      </w:r>
      <w:r w:rsidRPr="00A51642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interventi per il dissesto</w:t>
      </w:r>
      <w:r w:rsidR="00A51642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 idrogeologico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(32 milioni); Space economy e Basket Bond; attuazione </w:t>
      </w:r>
      <w:proofErr w:type="spellStart"/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Atuss</w:t>
      </w:r>
      <w:proofErr w:type="spellEnd"/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e Stami</w:t>
      </w:r>
      <w:r w:rsidR="00A51642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, e cioè gli strumenti di programmazione territoriale condivisa con </w:t>
      </w:r>
      <w:r w:rsidR="00EB19A3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i Comuni e le Unioni, anche nelle aree montane.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</w:p>
    <w:p w14:paraId="41B7852A" w14:textId="13A97191" w:rsidR="00D778A9" w:rsidRPr="00096B05" w:rsidRDefault="00D778A9" w:rsidP="000B65A9">
      <w:pPr>
        <w:shd w:val="clear" w:color="auto" w:fill="FFFFFF"/>
        <w:spacing w:before="80" w:beforeAutospacing="0" w:after="80" w:afterAutospacing="0" w:line="240" w:lineRule="auto"/>
        <w:jc w:val="both"/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</w:pP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Inoltre</w:t>
      </w:r>
      <w:r w:rsidR="00463A3B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,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sarà attuato l’accordo tra </w:t>
      </w:r>
      <w:r w:rsidR="00463A3B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la Banca europea </w:t>
      </w:r>
      <w:r w:rsidR="00184BE6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per gli investimenti (Bei)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e Regione per il</w:t>
      </w:r>
      <w:r w:rsidR="00184BE6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potenziamento e l’innovazione dell'offerta turistica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, e rafforzato lo stanziamento per fare un </w:t>
      </w:r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altro bando della Legge 14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.</w:t>
      </w:r>
    </w:p>
    <w:p w14:paraId="3B54D898" w14:textId="38C69E5E" w:rsidR="00096B05" w:rsidRDefault="00184BE6" w:rsidP="000B65A9">
      <w:pPr>
        <w:shd w:val="clear" w:color="auto" w:fill="FFFFFF"/>
        <w:spacing w:before="80" w:beforeAutospacing="0" w:after="80" w:afterAutospacing="0" w:line="240" w:lineRule="auto"/>
        <w:jc w:val="both"/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</w:pP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A supporto 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dell'</w:t>
      </w:r>
      <w:r w:rsidR="00D778A9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agricoltura emiliano-romagnola per il 2023-2027 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sono stati</w:t>
      </w:r>
      <w:r w:rsidR="00D778A9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programmati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, per quanto riguarda il </w:t>
      </w:r>
      <w:proofErr w:type="spellStart"/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Feasr</w:t>
      </w:r>
      <w:proofErr w:type="spellEnd"/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, </w:t>
      </w:r>
      <w:r w:rsidR="00D778A9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170 milioni di euro, attraverso 13 bandi</w:t>
      </w:r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="00D778A9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per finalità ambientali e indennità compensative per le zone svantaggiate.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</w:p>
    <w:p w14:paraId="387C86BB" w14:textId="6BB28994" w:rsidR="00463A3B" w:rsidRPr="00096B05" w:rsidRDefault="00D778A9" w:rsidP="000B65A9">
      <w:pPr>
        <w:shd w:val="clear" w:color="auto" w:fill="FFFFFF"/>
        <w:spacing w:before="80" w:beforeAutospacing="0" w:after="80" w:afterAutospacing="0" w:line="240" w:lineRule="auto"/>
        <w:jc w:val="both"/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</w:pPr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Per il 2023</w:t>
      </w:r>
      <w:r w:rsidR="00184BE6"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si prevede l'uscita di un altro pacchetto di bandi, di cui 8 per interventi agro-climatico ambientali e 20 per interventi strutturali quali investimenti, promozione e trasferimento delle conoscenze, per un totale complessivo di</w:t>
      </w:r>
      <w:r w:rsidR="00184BE6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125,7 milioni.</w:t>
      </w:r>
    </w:p>
    <w:p w14:paraId="1C49920C" w14:textId="77777777" w:rsidR="00D778A9" w:rsidRPr="00096B05" w:rsidRDefault="00463A3B" w:rsidP="000B65A9">
      <w:pPr>
        <w:shd w:val="clear" w:color="auto" w:fill="FFFFFF"/>
        <w:spacing w:before="80" w:beforeAutospacing="0" w:after="80" w:afterAutospacing="0" w:line="240" w:lineRule="auto"/>
        <w:jc w:val="both"/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</w:pP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Nonostante il </w:t>
      </w:r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mancato riparto 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a livello nazionale</w:t>
      </w:r>
      <w:r w:rsidR="00184BE6"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dei Fondi di Sviluppo e Coesione, </w:t>
      </w:r>
      <w:r w:rsidRPr="00096B05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nell’assestamento vengono </w:t>
      </w:r>
      <w:r w:rsidRPr="00096B05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confermati gli impegni presi sul versante della programmazione europea</w:t>
      </w:r>
      <w:r w:rsidRPr="008C5CDB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.</w:t>
      </w:r>
    </w:p>
    <w:sectPr w:rsidR="00D778A9" w:rsidRPr="00096B05" w:rsidSect="00BC782C">
      <w:pgSz w:w="11906" w:h="16838" w:code="9"/>
      <w:pgMar w:top="1417" w:right="1134" w:bottom="1134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A9"/>
    <w:rsid w:val="000365D8"/>
    <w:rsid w:val="000725AC"/>
    <w:rsid w:val="000806CB"/>
    <w:rsid w:val="00087755"/>
    <w:rsid w:val="00096B05"/>
    <w:rsid w:val="000B65A9"/>
    <w:rsid w:val="000D33E2"/>
    <w:rsid w:val="000F7EEF"/>
    <w:rsid w:val="00184BE6"/>
    <w:rsid w:val="001F3EFB"/>
    <w:rsid w:val="00271B27"/>
    <w:rsid w:val="00314081"/>
    <w:rsid w:val="0033676E"/>
    <w:rsid w:val="003C4215"/>
    <w:rsid w:val="00422447"/>
    <w:rsid w:val="0043040F"/>
    <w:rsid w:val="00463A3B"/>
    <w:rsid w:val="00490E44"/>
    <w:rsid w:val="00537F6B"/>
    <w:rsid w:val="005D32A6"/>
    <w:rsid w:val="005D6456"/>
    <w:rsid w:val="0063445C"/>
    <w:rsid w:val="00645372"/>
    <w:rsid w:val="00714D00"/>
    <w:rsid w:val="00782B89"/>
    <w:rsid w:val="007D6080"/>
    <w:rsid w:val="00833353"/>
    <w:rsid w:val="00837BEC"/>
    <w:rsid w:val="008C5CDB"/>
    <w:rsid w:val="008C74AA"/>
    <w:rsid w:val="00911DE7"/>
    <w:rsid w:val="009375DE"/>
    <w:rsid w:val="0099466A"/>
    <w:rsid w:val="009C18D0"/>
    <w:rsid w:val="009D43A5"/>
    <w:rsid w:val="00A51642"/>
    <w:rsid w:val="00A57655"/>
    <w:rsid w:val="00A82427"/>
    <w:rsid w:val="00A94085"/>
    <w:rsid w:val="00A953EC"/>
    <w:rsid w:val="00AA1FA4"/>
    <w:rsid w:val="00AE785D"/>
    <w:rsid w:val="00B4058B"/>
    <w:rsid w:val="00B87ED6"/>
    <w:rsid w:val="00BA4EE9"/>
    <w:rsid w:val="00BC782C"/>
    <w:rsid w:val="00BD1807"/>
    <w:rsid w:val="00C210B8"/>
    <w:rsid w:val="00C26C39"/>
    <w:rsid w:val="00C42288"/>
    <w:rsid w:val="00C9042F"/>
    <w:rsid w:val="00CC7054"/>
    <w:rsid w:val="00CE1958"/>
    <w:rsid w:val="00D24104"/>
    <w:rsid w:val="00D778A9"/>
    <w:rsid w:val="00D84876"/>
    <w:rsid w:val="00D94A06"/>
    <w:rsid w:val="00E50652"/>
    <w:rsid w:val="00E95026"/>
    <w:rsid w:val="00EB19A3"/>
    <w:rsid w:val="00ED2040"/>
    <w:rsid w:val="00F326AE"/>
    <w:rsid w:val="00F5301D"/>
    <w:rsid w:val="00F658DD"/>
    <w:rsid w:val="00F7789B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9F1B"/>
  <w15:chartTrackingRefBased/>
  <w15:docId w15:val="{EB439AA4-88A6-4E69-9C58-C91E560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778A9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78A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D778A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778A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778A9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A4EE9"/>
    <w:pPr>
      <w:spacing w:before="0" w:beforeAutospacing="0" w:after="0" w:afterAutospacing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A4E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7199">
          <w:marLeft w:val="0"/>
          <w:marRight w:val="0"/>
          <w:marTop w:val="450"/>
          <w:marBottom w:val="600"/>
          <w:divBdr>
            <w:top w:val="none" w:sz="0" w:space="0" w:color="auto"/>
            <w:left w:val="single" w:sz="48" w:space="15" w:color="C1C1C1"/>
            <w:bottom w:val="none" w:sz="0" w:space="0" w:color="auto"/>
            <w:right w:val="none" w:sz="0" w:space="0" w:color="auto"/>
          </w:divBdr>
        </w:div>
        <w:div w:id="46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3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1576">
          <w:marLeft w:val="0"/>
          <w:marRight w:val="0"/>
          <w:marTop w:val="450"/>
          <w:marBottom w:val="600"/>
          <w:divBdr>
            <w:top w:val="none" w:sz="0" w:space="0" w:color="auto"/>
            <w:left w:val="single" w:sz="48" w:space="15" w:color="C1C1C1"/>
            <w:bottom w:val="none" w:sz="0" w:space="0" w:color="auto"/>
            <w:right w:val="none" w:sz="0" w:space="0" w:color="auto"/>
          </w:divBdr>
        </w:div>
      </w:divsChild>
    </w:div>
    <w:div w:id="1657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Boselli Gianni</dc:creator>
  <cp:keywords/>
  <dc:description/>
  <cp:lastModifiedBy>Vergano Chiara</cp:lastModifiedBy>
  <cp:revision>2</cp:revision>
  <dcterms:created xsi:type="dcterms:W3CDTF">2023-07-26T08:10:00Z</dcterms:created>
  <dcterms:modified xsi:type="dcterms:W3CDTF">2023-07-26T08:10:00Z</dcterms:modified>
</cp:coreProperties>
</file>