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6F" w:rsidRPr="00D12F1B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  <w:bookmarkStart w:id="0" w:name="_GoBack"/>
      <w:bookmarkEnd w:id="0"/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L’ascolto a scuola</w:t>
      </w:r>
    </w:p>
    <w:p w:rsidR="00B8516F" w:rsidRPr="00D12F1B" w:rsidRDefault="00B8516F" w:rsidP="00B8516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12F1B">
        <w:rPr>
          <w:rFonts w:ascii="Arial" w:eastAsiaTheme="minorHAnsi" w:hAnsi="Arial" w:cs="Arial"/>
          <w:color w:val="000000"/>
          <w:lang w:eastAsia="en-US"/>
        </w:rPr>
        <w:t xml:space="preserve">Questa tipologia di intervento, principalmente finalizzata al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contrasto della dispersione scolastica</w:t>
      </w:r>
      <w:r w:rsidRPr="00FC3DAC">
        <w:rPr>
          <w:rFonts w:ascii="Arial" w:eastAsiaTheme="minorHAnsi" w:hAnsi="Arial" w:cs="Arial"/>
          <w:bCs/>
          <w:color w:val="000000"/>
          <w:lang w:eastAsia="en-US"/>
        </w:rPr>
        <w:t xml:space="preserve">, 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prevede - in accordo con le istituzioni scolastiche - di aumentare la presenza nelle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 xml:space="preserve">scuole 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(medie e superiori) degli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 xml:space="preserve">sportelli di ascolto </w:t>
      </w:r>
      <w:r w:rsidRPr="00D12F1B">
        <w:rPr>
          <w:rFonts w:ascii="Arial" w:eastAsiaTheme="minorHAnsi" w:hAnsi="Arial" w:cs="Arial"/>
          <w:color w:val="000000"/>
          <w:lang w:eastAsia="en-US"/>
        </w:rPr>
        <w:t>dedicat</w:t>
      </w:r>
      <w:r w:rsidRPr="00FC3DAC">
        <w:rPr>
          <w:rFonts w:ascii="Arial" w:eastAsiaTheme="minorHAnsi" w:hAnsi="Arial" w:cs="Arial"/>
          <w:bCs/>
          <w:color w:val="000000"/>
          <w:lang w:eastAsia="en-US"/>
        </w:rPr>
        <w:t>i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D12F1B">
        <w:rPr>
          <w:rFonts w:ascii="Arial" w:eastAsiaTheme="minorHAnsi" w:hAnsi="Arial" w:cs="Arial"/>
          <w:color w:val="000000"/>
          <w:lang w:eastAsia="en-US"/>
        </w:rPr>
        <w:t>a studenti, insegnanti e genitori, gestiti da operatori specializzati.</w:t>
      </w:r>
    </w:p>
    <w:p w:rsidR="00B8516F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8516F" w:rsidRPr="00D12F1B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Il ruolo sociale degli adolescenti</w:t>
      </w:r>
    </w:p>
    <w:p w:rsidR="00B8516F" w:rsidRPr="00D12F1B" w:rsidRDefault="00B8516F" w:rsidP="00B8516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12F1B">
        <w:rPr>
          <w:rFonts w:ascii="Arial" w:eastAsiaTheme="minorHAnsi" w:hAnsi="Arial" w:cs="Arial"/>
          <w:color w:val="000000"/>
          <w:lang w:eastAsia="en-US"/>
        </w:rPr>
        <w:t xml:space="preserve">L’obiettivo è favorire la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 xml:space="preserve">compartecipazione 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degli adolescenti ai provvedimenti che li riguardano. In ambito scolastico, del tempo libero, sportivo, culturale, dei mezzi di trasporto e dei servizi in generale, attraverso l’organizzazione di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momenti di confronto con gli adulti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o la partecipazione a sondaggi tramite web.</w:t>
      </w:r>
    </w:p>
    <w:p w:rsidR="00B8516F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8516F" w:rsidRDefault="00B8516F" w:rsidP="00B8516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La salute degli adolescenti</w:t>
      </w:r>
    </w:p>
    <w:p w:rsidR="00B8516F" w:rsidRPr="00D12F1B" w:rsidRDefault="00B8516F" w:rsidP="00B8516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12F1B">
        <w:rPr>
          <w:rFonts w:ascii="Arial" w:eastAsiaTheme="minorHAnsi" w:hAnsi="Arial" w:cs="Arial"/>
          <w:color w:val="000000"/>
          <w:lang w:eastAsia="en-US"/>
        </w:rPr>
        <w:t>Prendersi cura della loro salute vuole anche dire prestare attenzione alle specificità dell’età, degli ambienti di vita, del ruolo della famiglia. Tra gli interventi previsti,</w:t>
      </w:r>
      <w:r w:rsidR="00631A64">
        <w:rPr>
          <w:rFonts w:ascii="Arial" w:eastAsiaTheme="minorHAnsi" w:hAnsi="Arial" w:cs="Arial"/>
          <w:color w:val="000000"/>
          <w:lang w:eastAsia="en-US"/>
        </w:rPr>
        <w:t xml:space="preserve"> il </w:t>
      </w:r>
      <w:r w:rsidR="00631A64" w:rsidRPr="00631A64">
        <w:rPr>
          <w:rFonts w:ascii="Arial" w:eastAsiaTheme="minorHAnsi" w:hAnsi="Arial" w:cs="Arial"/>
          <w:b/>
          <w:color w:val="000000"/>
          <w:lang w:eastAsia="en-US"/>
        </w:rPr>
        <w:t xml:space="preserve">rafforzamento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in tutte le Aziende sanitarie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di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percorsi di cura dedicati</w:t>
      </w:r>
      <w:r>
        <w:rPr>
          <w:rFonts w:ascii="Arial" w:eastAsiaTheme="minorHAnsi" w:hAnsi="Arial" w:cs="Arial"/>
          <w:color w:val="000000"/>
          <w:lang w:eastAsia="en-US"/>
        </w:rPr>
        <w:t xml:space="preserve">; </w:t>
      </w:r>
      <w:r w:rsidRPr="00D12F1B">
        <w:rPr>
          <w:rFonts w:ascii="Arial" w:eastAsiaTheme="minorHAnsi" w:hAnsi="Arial" w:cs="Arial"/>
          <w:color w:val="000000"/>
          <w:lang w:eastAsia="en-US"/>
        </w:rPr>
        <w:t>campagne di sensibilizzazione e incontri con specialisti per promuovere stili di vita sani (fumo, alimentazione, malattie sessualmente trasmesse, igiene e prevenzione).</w:t>
      </w:r>
    </w:p>
    <w:p w:rsidR="00B8516F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8516F" w:rsidRPr="00D12F1B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Conoscere gli adolescenti</w:t>
      </w:r>
    </w:p>
    <w:p w:rsidR="00B8516F" w:rsidRPr="00D12F1B" w:rsidRDefault="00B8516F" w:rsidP="00B8516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12F1B">
        <w:rPr>
          <w:rFonts w:ascii="Arial" w:eastAsiaTheme="minorHAnsi" w:hAnsi="Arial" w:cs="Arial"/>
          <w:color w:val="000000"/>
          <w:lang w:eastAsia="en-US"/>
        </w:rPr>
        <w:t xml:space="preserve">Destinatari degli interventi che rientrano in questa tipologia sono tutti i soggetti coinvolti nella programmazione di politiche e interventi a favore degli adolescenti e delle loro famiglie.  L’obiettivo è di fornire, attraverso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studi e analisi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puntuali e ricorrenti, il quadro d’insieme delle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caratteristiche degli adolescenti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e della loro comunità di appartenenza sotto l’aspetto socioeconomico, culturale, dell’offerta di servizi e opportunità.</w:t>
      </w:r>
    </w:p>
    <w:p w:rsidR="00B8516F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8516F" w:rsidRPr="00D12F1B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Sostegno al tempo extrascolastico</w:t>
      </w:r>
    </w:p>
    <w:p w:rsidR="00B8516F" w:rsidRPr="00D12F1B" w:rsidRDefault="00B8516F" w:rsidP="00B8516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12F1B">
        <w:rPr>
          <w:rFonts w:ascii="Arial" w:eastAsiaTheme="minorHAnsi" w:hAnsi="Arial" w:cs="Arial"/>
          <w:color w:val="000000"/>
          <w:lang w:eastAsia="en-US"/>
        </w:rPr>
        <w:t xml:space="preserve">Si tratta di azioni che la Regione finanzia dal 2009 attraverso bandi specifici rivolti ad associazioni di promozione sociale,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rganizzazioni di volontariato, cooperative sociali, oratori, enti ecclesiastici ed enti locali e loro forme associative. Riguardano attività di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carattere educativo, sociale e di sostegno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svolte in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ambito extrascolastico</w:t>
      </w:r>
      <w:r>
        <w:rPr>
          <w:rFonts w:ascii="Arial" w:eastAsiaTheme="minorHAnsi" w:hAnsi="Arial" w:cs="Arial"/>
          <w:color w:val="000000"/>
          <w:lang w:eastAsia="en-US"/>
        </w:rPr>
        <w:t xml:space="preserve"> - come l</w:t>
      </w:r>
      <w:r w:rsidRPr="00D12F1B">
        <w:rPr>
          <w:rFonts w:ascii="Arial" w:eastAsiaTheme="minorHAnsi" w:hAnsi="Arial" w:cs="Arial"/>
          <w:color w:val="000000"/>
          <w:lang w:eastAsia="en-US"/>
        </w:rPr>
        <w:t>’esecuzione dei compiti</w:t>
      </w:r>
      <w:r>
        <w:rPr>
          <w:rFonts w:ascii="Arial" w:eastAsiaTheme="minorHAnsi" w:hAnsi="Arial" w:cs="Arial"/>
          <w:color w:val="000000"/>
          <w:lang w:eastAsia="en-US"/>
        </w:rPr>
        <w:t xml:space="preserve">, i </w:t>
      </w:r>
      <w:r w:rsidRPr="00D12F1B">
        <w:rPr>
          <w:rFonts w:ascii="Arial" w:eastAsiaTheme="minorHAnsi" w:hAnsi="Arial" w:cs="Arial"/>
          <w:color w:val="000000"/>
          <w:lang w:eastAsia="en-US"/>
        </w:rPr>
        <w:t>laboratori di pittura</w:t>
      </w:r>
      <w:r>
        <w:rPr>
          <w:rFonts w:ascii="Arial" w:eastAsiaTheme="minorHAnsi" w:hAnsi="Arial" w:cs="Arial"/>
          <w:color w:val="000000"/>
          <w:lang w:eastAsia="en-US"/>
        </w:rPr>
        <w:t xml:space="preserve"> e teatro -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rivolte a preadolescenti, adolescenti e giovani con difficoltà di socializzazione, a rischio di dispersione scolastica o emarginazione.</w:t>
      </w:r>
    </w:p>
    <w:p w:rsidR="00B8516F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8516F" w:rsidRPr="00D12F1B" w:rsidRDefault="00B8516F" w:rsidP="00B8516F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La “scuola” per genitori</w:t>
      </w:r>
    </w:p>
    <w:p w:rsidR="00B8516F" w:rsidRPr="00D12F1B" w:rsidRDefault="00B8516F" w:rsidP="00B8516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12F1B">
        <w:rPr>
          <w:rFonts w:ascii="Arial" w:eastAsiaTheme="minorHAnsi" w:hAnsi="Arial" w:cs="Arial"/>
          <w:color w:val="000000"/>
          <w:lang w:eastAsia="en-US"/>
        </w:rPr>
        <w:t xml:space="preserve">É un percorso formativo rivolto ai genitori e ad altri adulti di riferimento, organizzato in più giornate a tema: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rapporto tra scuola e famiglia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dipendenza da social network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amore e amicizia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tra gli adolescenti. L’obiettivo del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ciclo di incontri</w:t>
      </w:r>
      <w:r w:rsidRPr="00D12F1B">
        <w:rPr>
          <w:rFonts w:ascii="Arial" w:eastAsiaTheme="minorHAnsi" w:hAnsi="Arial" w:cs="Arial"/>
          <w:color w:val="000000"/>
          <w:lang w:eastAsia="en-US"/>
        </w:rPr>
        <w:t>, replicati in ogni capoluogo di provincia della regione, è offrire agli adulti un sostegno alle proprie competenze educative. </w:t>
      </w:r>
    </w:p>
    <w:p w:rsidR="00B8516F" w:rsidRDefault="00B8516F" w:rsidP="00B8516F">
      <w:pPr>
        <w:pStyle w:val="Normale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8516F" w:rsidRPr="00D12F1B" w:rsidRDefault="00B8516F" w:rsidP="00B8516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12F1B">
        <w:rPr>
          <w:rFonts w:ascii="Arial" w:eastAsiaTheme="minorHAnsi" w:hAnsi="Arial" w:cs="Arial"/>
          <w:color w:val="000000"/>
          <w:lang w:eastAsia="en-US"/>
        </w:rPr>
        <w:t>Il Piano riprende</w:t>
      </w:r>
      <w:r>
        <w:rPr>
          <w:rFonts w:ascii="Arial" w:eastAsiaTheme="minorHAnsi" w:hAnsi="Arial" w:cs="Arial"/>
          <w:color w:val="000000"/>
          <w:lang w:eastAsia="en-US"/>
        </w:rPr>
        <w:t>,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inoltre</w:t>
      </w:r>
      <w:r>
        <w:rPr>
          <w:rFonts w:ascii="Arial" w:eastAsiaTheme="minorHAnsi" w:hAnsi="Arial" w:cs="Arial"/>
          <w:color w:val="000000"/>
          <w:lang w:eastAsia="en-US"/>
        </w:rPr>
        <w:t>,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tematiche per le quali la Regione attua già misure specifiche. Tra queste, la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 xml:space="preserve">diffusione della pratica sportiva 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per agevolare la socializzazione, aumentare l’autostima, contrastare il rischio di sovrappeso e obesità degli adolescenti, in aumento soprattutto tra le fasce socio-economiche più deboli; la qualificazione e il sostegno alla frequenza dei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centri estivi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attraverso l’abbattimento delle rette per le famiglie con Isee fino a 28 mila euro; il sostegno al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protagonismo giovanile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e alla </w:t>
      </w:r>
      <w:r w:rsidRPr="00D12F1B">
        <w:rPr>
          <w:rFonts w:ascii="Arial" w:eastAsiaTheme="minorHAnsi" w:hAnsi="Arial" w:cs="Arial"/>
          <w:b/>
          <w:bCs/>
          <w:color w:val="000000"/>
          <w:lang w:eastAsia="en-US"/>
        </w:rPr>
        <w:t>creatività</w:t>
      </w:r>
      <w:r w:rsidRPr="00D12F1B">
        <w:rPr>
          <w:rFonts w:ascii="Arial" w:eastAsiaTheme="minorHAnsi" w:hAnsi="Arial" w:cs="Arial"/>
          <w:color w:val="000000"/>
          <w:lang w:eastAsia="en-US"/>
        </w:rPr>
        <w:t xml:space="preserve"> negli adolescenti e nei giovani. </w:t>
      </w:r>
    </w:p>
    <w:p w:rsidR="00B8516F" w:rsidRPr="00D12F1B" w:rsidRDefault="00B8516F" w:rsidP="00B851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24E" w:rsidRDefault="006E724E"/>
    <w:sectPr w:rsidR="006E7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6F"/>
    <w:rsid w:val="00631A64"/>
    <w:rsid w:val="00692AD6"/>
    <w:rsid w:val="006E724E"/>
    <w:rsid w:val="00B05D76"/>
    <w:rsid w:val="00B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0098-9762-4DCC-9AD8-929B423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85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Fabbri Valeria</cp:lastModifiedBy>
  <cp:revision>2</cp:revision>
  <dcterms:created xsi:type="dcterms:W3CDTF">2019-10-16T08:31:00Z</dcterms:created>
  <dcterms:modified xsi:type="dcterms:W3CDTF">2019-10-16T08:31:00Z</dcterms:modified>
</cp:coreProperties>
</file>